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s-AR"/>
        </w:rPr>
        <w:t>Vivir una mentira: nos engañamos a nosotros mismos para engañar mejor a otros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 xml:space="preserve">Una nueva investigación </w:t>
      </w:r>
      <w:r>
        <w:rPr>
          <w:sz w:val="24"/>
          <w:szCs w:val="24"/>
          <w:lang w:val="es-AR"/>
        </w:rPr>
        <w:t>trae a la luz</w:t>
      </w:r>
      <w:r>
        <w:rPr>
          <w:sz w:val="24"/>
          <w:szCs w:val="24"/>
          <w:lang w:val="es-AR"/>
        </w:rPr>
        <w:t xml:space="preserve"> las primeras evidencias de una teoría originalmente implementada en 1970.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La gente siempre se engaña a sí misma, por ejemplo, cuando nos convencemos de que somos más listos y apuestos que nuestros amigos, que el partido político al que apoyamos es incapaz de cometer mal alguno o que estamos demasiado ocupados para darle una mano a algún colega. En 1976, escrito en el prólogo del libro </w:t>
      </w:r>
      <w:r>
        <w:rPr>
          <w:i/>
          <w:sz w:val="24"/>
          <w:szCs w:val="24"/>
          <w:lang w:val="es-AR"/>
        </w:rPr>
        <w:t>El gen egoísta</w:t>
      </w:r>
      <w:r>
        <w:rPr>
          <w:sz w:val="24"/>
          <w:szCs w:val="24"/>
          <w:lang w:val="es-AR"/>
        </w:rPr>
        <w:t xml:space="preserve"> del autor Richard Dawkin, el biólogo Robert Trivers formuló una interesante y original explicación para tales subjetividades: nos autoengañamos para engañar al resto con mayor eficacia y, así, generar ventajas sociales. Después de cuarenta años, Trivers, junto con sus colegas, hizo públicas las primeras </w:t>
      </w:r>
      <w:r>
        <w:rPr>
          <w:sz w:val="24"/>
          <w:szCs w:val="24"/>
          <w:lang w:val="es-AR"/>
        </w:rPr>
        <w:t>pruebas</w:t>
      </w:r>
      <w:r>
        <w:rPr>
          <w:sz w:val="24"/>
          <w:szCs w:val="24"/>
          <w:lang w:val="es-AR"/>
        </w:rPr>
        <w:t xml:space="preserve"> que sustentan su teoría.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Los psicólogos reconocen varias formas de autoengaño, entre ellas, </w:t>
      </w:r>
      <w:r>
        <w:rPr>
          <w:sz w:val="24"/>
          <w:szCs w:val="24"/>
          <w:lang w:val="es-AR"/>
        </w:rPr>
        <w:t xml:space="preserve">el </w:t>
      </w:r>
      <w:r>
        <w:rPr>
          <w:sz w:val="24"/>
          <w:szCs w:val="24"/>
          <w:lang w:val="es-AR"/>
        </w:rPr>
        <w:t xml:space="preserve">sesgo </w:t>
      </w:r>
      <w:r>
        <w:rPr>
          <w:sz w:val="24"/>
          <w:szCs w:val="24"/>
          <w:lang w:val="es-AR"/>
        </w:rPr>
        <w:t>confirmatorio</w:t>
      </w:r>
      <w:r>
        <w:rPr>
          <w:sz w:val="24"/>
          <w:szCs w:val="24"/>
          <w:lang w:val="es-AR"/>
        </w:rPr>
        <w:t xml:space="preserve">, </w:t>
      </w:r>
      <w:r>
        <w:rPr>
          <w:sz w:val="24"/>
          <w:szCs w:val="24"/>
          <w:lang w:val="es-AR"/>
        </w:rPr>
        <w:t xml:space="preserve">el </w:t>
      </w:r>
      <w:r>
        <w:rPr>
          <w:sz w:val="24"/>
          <w:szCs w:val="24"/>
          <w:lang w:val="es-AR"/>
        </w:rPr>
        <w:t xml:space="preserve">sesgo de </w:t>
      </w:r>
      <w:r>
        <w:rPr>
          <w:sz w:val="24"/>
          <w:szCs w:val="24"/>
          <w:lang w:val="es-AR"/>
        </w:rPr>
        <w:t xml:space="preserve">razonamiento </w:t>
      </w:r>
      <w:r>
        <w:rPr>
          <w:sz w:val="24"/>
          <w:szCs w:val="24"/>
          <w:lang w:val="es-AR"/>
        </w:rPr>
        <w:t>y el sesgo de memoria</w:t>
      </w:r>
      <w:r>
        <w:rPr>
          <w:sz w:val="24"/>
          <w:szCs w:val="24"/>
          <w:lang w:val="es-AR"/>
        </w:rPr>
        <w:t xml:space="preserve">. El nuevo estudio de Trivers, </w:t>
      </w:r>
      <w:r>
        <w:rPr>
          <w:sz w:val="24"/>
          <w:szCs w:val="24"/>
          <w:lang w:val="es-AR"/>
        </w:rPr>
        <w:t>que será publicado</w:t>
      </w:r>
      <w:r>
        <w:rPr>
          <w:sz w:val="24"/>
          <w:szCs w:val="24"/>
          <w:lang w:val="es-AR"/>
        </w:rPr>
        <w:t xml:space="preserve"> en la Revista de Psicología Económica, se enfoca en el primer punto; es decir, buscar información que se alinea a nuestra opinión en vez de aquella que la desafía.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 xml:space="preserve">Con el fin de probar esto, un experimento del estudio tomó a 306 participantes por internet a los que se les encargó escribir un discurso persuasivo sobre un personaje ficticio llamado Mark y se les prometió un bono si lo hacían lo más convincente posible. A algunos de los participantes se les instruyó presentar a Mark como alguien agradable, a otros </w:t>
      </w:r>
      <w:r>
        <w:rPr>
          <w:sz w:val="24"/>
          <w:szCs w:val="24"/>
          <w:lang w:val="es-AR"/>
        </w:rPr>
        <w:t>que lo</w:t>
      </w:r>
      <w:r>
        <w:rPr>
          <w:sz w:val="24"/>
          <w:szCs w:val="24"/>
          <w:lang w:val="es-AR"/>
        </w:rPr>
        <w:t xml:space="preserve"> </w:t>
      </w:r>
      <w:r>
        <w:rPr>
          <w:sz w:val="24"/>
          <w:szCs w:val="24"/>
          <w:lang w:val="es-AR"/>
        </w:rPr>
        <w:t>presenten</w:t>
      </w:r>
      <w:r>
        <w:rPr>
          <w:sz w:val="24"/>
          <w:szCs w:val="24"/>
          <w:lang w:val="es-AR"/>
        </w:rPr>
        <w:t xml:space="preserve"> como desagradable y al rest</w:t>
      </w:r>
      <w:r>
        <w:rPr>
          <w:sz w:val="24"/>
          <w:szCs w:val="24"/>
          <w:lang w:val="es-AR"/>
        </w:rPr>
        <w:t>o</w:t>
      </w:r>
      <w:r>
        <w:rPr>
          <w:sz w:val="24"/>
          <w:szCs w:val="24"/>
          <w:lang w:val="es-AR"/>
        </w:rPr>
        <w:t xml:space="preserve"> que escribieran las impresiones que se formaran de él en el proceso. Con el objetivo de recolectar información sobre Mark, se les mostró una serie de videos cortos a los participantes </w:t>
      </w:r>
      <w:r>
        <w:rPr>
          <w:sz w:val="24"/>
          <w:szCs w:val="24"/>
          <w:lang w:val="es-AR"/>
        </w:rPr>
        <w:t>y</w:t>
      </w:r>
      <w:r>
        <w:rPr>
          <w:sz w:val="24"/>
          <w:szCs w:val="24"/>
          <w:lang w:val="es-AR"/>
        </w:rPr>
        <w:t xml:space="preserve"> podían dejar de ver la presentación en cualquier momento que lo decidieran. La presentación mostraba a Mark bajo una luz favorable al principio (reciclando, devolviendo una billetera a su dueño), pero, poco a poco, el tono oscurecía (desde insultar hasta golpear a un amigo). La presentación mostraba </w:t>
      </w:r>
      <w:r>
        <w:rPr>
          <w:sz w:val="24"/>
          <w:szCs w:val="24"/>
          <w:lang w:val="es-AR"/>
        </w:rPr>
        <w:t>de esta manera</w:t>
      </w:r>
      <w:r>
        <w:rPr>
          <w:sz w:val="24"/>
          <w:szCs w:val="24"/>
          <w:lang w:val="es-AR"/>
        </w:rPr>
        <w:t xml:space="preserve"> </w:t>
      </w:r>
      <w:r>
        <w:rPr>
          <w:sz w:val="24"/>
          <w:szCs w:val="24"/>
          <w:lang w:val="es-AR"/>
        </w:rPr>
        <w:t>la</w:t>
      </w:r>
      <w:r>
        <w:rPr>
          <w:sz w:val="24"/>
          <w:szCs w:val="24"/>
          <w:lang w:val="es-AR"/>
        </w:rPr>
        <w:t xml:space="preserve"> sucesión de hechos para </w:t>
      </w:r>
      <w:r>
        <w:rPr>
          <w:sz w:val="24"/>
          <w:szCs w:val="24"/>
          <w:lang w:val="es-AR"/>
        </w:rPr>
        <w:t>unos, pero,</w:t>
      </w:r>
      <w:r>
        <w:rPr>
          <w:sz w:val="24"/>
          <w:szCs w:val="24"/>
          <w:lang w:val="es-AR"/>
        </w:rPr>
        <w:t xml:space="preserve"> para otros, de manera inversa.</w:t>
      </w:r>
    </w:p>
    <w:p>
      <w:pPr>
        <w:pStyle w:val="Normal"/>
        <w:spacing w:lineRule="auto" w:line="276" w:before="0" w:after="200"/>
        <w:jc w:val="both"/>
        <w:rPr>
          <w:sz w:val="24"/>
          <w:szCs w:val="24"/>
        </w:rPr>
      </w:pPr>
      <w:r>
        <w:rPr>
          <w:sz w:val="24"/>
          <w:szCs w:val="24"/>
          <w:lang w:val="es-AR"/>
        </w:rPr>
        <w:tab/>
        <w:t>El grupo de escritores encargados de alabar la bondad de Mark decidieron dejar de ver la presentación de videos positivos antes que el grupo de escritores a los que se les mostró la presentación negativa. Este primer grupo no tardó en formarse la imagen completa del personaje porque obtuvo de entrada la información que necesitaba para convencerse, y convencer a otros, sobre la bondad de Mark.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25ca1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LibreOffice/7.4.0.3$Windows_X86_64 LibreOffice_project/f85e47c08ddd19c015c0114a68350214f7066f5a</Application>
  <AppVersion>15.0000</AppVersion>
  <Pages>1</Pages>
  <Words>425</Words>
  <Characters>2150</Characters>
  <CharactersWithSpaces>2573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2019-05-21T14:23:00Z</dcterms:created>
  <dc:creator>Facundo Escobar</dc:creator>
  <dc:description/>
  <dc:language>es-AR</dc:language>
  <cp:lastModifiedBy/>
  <dcterms:modified xsi:type="dcterms:W3CDTF">2022-10-10T02:17:01Z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